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Arial" w:cs="Arial" w:eastAsia="Arial" w:hAnsi="Arial"/>
          <w:b/>
          <w:bCs/>
          <w:color w:val="006172"/>
          <w:spacing w:val="120"/>
          <w:sz w:val="24"/>
          <w:szCs w:val="24"/>
        </w:rPr>
        <w:t xml:space="preserve">GEMBA SUITE</w:t>
      </w:r>
    </w:p>
    <w:p>
      <w:pPr>
        <w:spacing w:after="2000" w:before="0"/>
      </w:pPr>
      <w:r>
        <w:rPr>
          <w:rFonts w:ascii="Arial" w:cs="Arial" w:eastAsia="Arial" w:hAnsi="Arial"/>
          <w:b/>
          <w:bCs/>
          <w:color w:val="004e5c"/>
          <w:sz w:val="22"/>
          <w:szCs w:val="22"/>
        </w:rPr>
        <w:t xml:space="preserve">Gemba-A3</w:t>
      </w:r>
    </w:p>
    <w:p>
      <w:pPr>
        <w:spacing w:after="200" w:before="0"/>
      </w:pPr>
      <w:r>
        <w:rPr>
          <w:rFonts w:ascii="Arial" w:cs="Arial" w:eastAsia="Arial" w:hAnsi="Arial"/>
          <w:b/>
          <w:bCs/>
          <w:color w:val="181c1c"/>
          <w:sz w:val="96"/>
          <w:szCs w:val="96"/>
        </w:rPr>
        <w:t xml:space="preserve">A3 Quick-Start</w:t>
      </w:r>
    </w:p>
    <w:p>
      <w:pPr>
        <w:spacing w:after="1200" w:before="0"/>
      </w:pPr>
      <w:r>
        <w:rPr>
          <w:rFonts w:ascii="Arial" w:cs="Arial" w:eastAsia="Arial" w:hAnsi="Arial"/>
          <w:b/>
          <w:bCs/>
          <w:color w:val="006172"/>
          <w:sz w:val="96"/>
          <w:szCs w:val="96"/>
        </w:rPr>
        <w:t xml:space="preserve">Guide</w:t>
      </w:r>
    </w:p>
    <w:p>
      <w:pPr>
        <w:spacing w:after="160" w:before="0"/>
      </w:pPr>
      <w:r>
        <w:rPr>
          <w:rFonts w:ascii="Arial" w:cs="Arial" w:eastAsia="Arial" w:hAnsi="Arial"/>
          <w:i/>
          <w:iCs/>
          <w:color w:val="595959"/>
          <w:sz w:val="28"/>
          <w:szCs w:val="28"/>
        </w:rPr>
        <w:t xml:space="preserve">For experienced lean practitioners</w:t>
      </w:r>
    </w:p>
    <w:p>
      <w:pPr>
        <w:spacing w:after="160" w:before="0"/>
      </w:pPr>
      <w:r>
        <w:rPr>
          <w:rFonts w:ascii="Arial" w:cs="Arial" w:eastAsia="Arial" w:hAnsi="Arial"/>
          <w:color w:val="006172"/>
          <w:sz w:val="22"/>
          <w:szCs w:val="22"/>
        </w:rPr>
        <w:t xml:space="preserve">gembasuite.org/a3-quickstart</w:t>
      </w:r>
    </w:p>
    <w:p>
      <w:pPr>
        <w:spacing w:after="0" w:before="0"/>
      </w:pPr>
      <w:r>
        <w:rPr>
          <w:rFonts w:ascii="Arial" w:cs="Arial" w:eastAsia="Arial" w:hAnsi="Arial"/>
          <w:color w:val="595959"/>
          <w:sz w:val="22"/>
          <w:szCs w:val="22"/>
        </w:rPr>
        <w:t xml:space="preserve">v2.2  —  May 2026</w:t>
      </w:r>
    </w:p>
    <w:p>
      <w:r>
        <w:br w:type="page"/>
      </w:r>
    </w:p>
    <w:p>
      <w:pPr>
        <w:pStyle w:val="Heading1"/>
        <w:pBdr>
          <w:bottom w:val="single" w:color="006172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006172"/>
          <w:sz w:val="48"/>
          <w:szCs w:val="48"/>
        </w:rPr>
        <w:t xml:space="preserve">Who This Guide Is For</w:t>
      </w:r>
    </w:p>
    <w:p>
      <w:pPr>
        <w:spacing w:after="100" w:before="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You already know A3 thinking. You understand PDCA, stage-gate discipline, and the author/responder dynamic. This guide gets you using Gemba-A3 v2.2 in minutes, not pages.</w:t>
      </w:r>
    </w:p>
    <w:p>
      <w:pPr>
        <w:spacing w:after="100" w:before="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For methodology background — four types of problem, the Systems Lens EBC framework, the nine sections in depth — see the full guide at gembasuite.org/guide/a3/</w:t>
      </w:r>
    </w:p>
    <w:p>
      <w:pPr>
        <w:spacing w:after="240" w:before="0"/>
      </w:pPr>
      <w:r>
        <w:t xml:space="preserve"/>
      </w:r>
    </w:p>
    <w:p>
      <w:pPr>
        <w:pStyle w:val="Heading1"/>
        <w:pBdr>
          <w:bottom w:val="single" w:color="006172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006172"/>
          <w:sz w:val="48"/>
          <w:szCs w:val="48"/>
        </w:rPr>
        <w:t xml:space="preserve">At a Glance — v2.2</w:t>
      </w:r>
    </w:p>
    <w:p>
      <w:pPr>
        <w:spacing w:after="100" w:before="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Gemba-A3 v2.2 is a single-file browser app (no install required). Three main changes from v1.x: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Systems Lens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EBC four-perspectives coaching layer (People · Systems · Design · Risk). Toggle on/off per project. Optional.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4C Rapid Response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Type 1 troubleshooting flow (separate tab, available when you select Type 1 at project creation).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Stage gate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Plan sections 1–5 lock sections 6–9 until explicitly unlocked. Memos on locked sections persist.</w:t>
      </w:r>
    </w:p>
    <w:p>
      <w:pPr>
        <w:spacing w:after="240" w:before="0"/>
      </w:pPr>
      <w:r>
        <w:t xml:space="preserve"/>
      </w:r>
    </w:p>
    <w:p>
      <w:pPr>
        <w:pStyle w:val="Heading1"/>
        <w:pBdr>
          <w:bottom w:val="single" w:color="006172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006172"/>
          <w:sz w:val="48"/>
          <w:szCs w:val="48"/>
        </w:rPr>
        <w:t xml:space="preserve">Getting Started — Step by Step</w:t>
      </w:r>
    </w:p>
    <w:p>
      <w:pPr>
        <w:spacing w:after="8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0d4d3" w:sz="4"/>
              <w:left w:val="single" w:color="006172" w:sz="18"/>
              <w:bottom w:val="single" w:color="d0d4d3" w:sz="4"/>
              <w:right w:val="single" w:color="d0d4d3" w:sz="4"/>
            </w:tcBorders>
            <w:shd w:fill="f8fcfd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color w:val="006172"/>
                <w:sz w:val="24"/>
                <w:szCs w:val="24"/>
              </w:rPr>
              <w:t xml:space="preserve">Step 1: Open the app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Navigate to </w:t>
            </w:r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https://gembasuite.org/a3</w:t>
            </w: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 in any modern browser.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On iPhone/iPad: open in Safari → Share → Add to Home Screen.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On Android: open in Chrome → three-dot menu → Install app.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Works offline after first load.</w:t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0d4d3" w:sz="4"/>
              <w:left w:val="single" w:color="006172" w:sz="18"/>
              <w:bottom w:val="single" w:color="d0d4d3" w:sz="4"/>
              <w:right w:val="single" w:color="d0d4d3" w:sz="4"/>
            </w:tcBorders>
            <w:shd w:fill="f8fcfd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color w:val="006172"/>
                <w:sz w:val="24"/>
                <w:szCs w:val="24"/>
              </w:rPr>
              <w:t xml:space="preserve">Step 2: Create a project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Tap </w:t>
            </w:r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+ New A3</w:t>
            </w: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 in the project bar.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Choose your problem type: </w:t>
            </w:r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Type 1</w:t>
            </w: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 (troubleshooting → 4C), </w:t>
            </w:r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Type 2</w:t>
            </w: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 (gap from standard → full A3 RCA), </w:t>
            </w:r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Type 3</w:t>
            </w: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 (target state → full A3 options analysis). Type cannot be changed after selection.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Enter a specific project title. Something is wrong if the title could apply to any ward or any lab.</w:t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0d4d3" w:sz="4"/>
              <w:left w:val="single" w:color="006172" w:sz="18"/>
              <w:bottom w:val="single" w:color="d0d4d3" w:sz="4"/>
              <w:right w:val="single" w:color="d0d4d3" w:sz="4"/>
            </w:tcBorders>
            <w:shd w:fill="f8fcfd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color w:val="006172"/>
                <w:sz w:val="24"/>
                <w:szCs w:val="24"/>
              </w:rPr>
              <w:t xml:space="preserve">Step 3: Work the Plan tab (sections 1–5)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Each section: text area + checkpoint questions (collapsible) + photo attach + Gemba Suite import.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Mark each section </w:t>
            </w:r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In Progress</w:t>
            </w: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 or </w:t>
            </w:r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Complete</w:t>
            </w: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 as you go — section status is visible on the tab.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Section 2 and 4</w:t>
            </w: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 have built-in Pareto chart generators. Enter categories and counts.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Section 3</w:t>
            </w: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 has SMART check fields alongside free text.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Section 5</w:t>
            </w: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: root cause must survive the elimination test — remove it and does the problem disappear?</w:t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0d4d3" w:sz="4"/>
              <w:left w:val="single" w:color="006172" w:sz="18"/>
              <w:bottom w:val="single" w:color="d0d4d3" w:sz="4"/>
              <w:right w:val="single" w:color="d0d4d3" w:sz="4"/>
            </w:tcBorders>
            <w:shd w:fill="f8fcfd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color w:val="006172"/>
                <w:sz w:val="24"/>
                <w:szCs w:val="24"/>
              </w:rPr>
              <w:t xml:space="preserve">Step 4: Pass the stage gate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Sections 6–9 are locked until you tap </w:t>
            </w:r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"I'm ready to move to countermeasures"</w:t>
            </w: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 at the top of the Do/Check/Act tab.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You can jot timestamped memos on locked sections at any time — they surface after unlock.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Checkpoint questions appear in a review screen before you confirm. You do not have to answer them all — but they are worth reading.</w:t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0d4d3" w:sz="4"/>
              <w:left w:val="single" w:color="006172" w:sz="18"/>
              <w:bottom w:val="single" w:color="d0d4d3" w:sz="4"/>
              <w:right w:val="single" w:color="d0d4d3" w:sz="4"/>
            </w:tcBorders>
            <w:shd w:fill="f8fcfd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color w:val="006172"/>
                <w:sz w:val="24"/>
                <w:szCs w:val="24"/>
              </w:rPr>
              <w:t xml:space="preserve">Step 5: Complete the Do/Check/Act tab (sections 6–9)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Section 6</w:t>
            </w: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: countermeasures (not solutions) — each traces to a root cause.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Section 7</w:t>
            </w: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: action plan with owner, due date, status, and PDCA phase per item.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Section 8</w:t>
            </w: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: before/after data. Import SPC charts from Gemba-SPC if available.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Section 9</w:t>
            </w: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: next steps, handover, standardisation checklist, follow-up monitoring plan.</w:t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0d4d3" w:sz="4"/>
              <w:left w:val="single" w:color="006172" w:sz="18"/>
              <w:bottom w:val="single" w:color="d0d4d3" w:sz="4"/>
              <w:right w:val="single" w:color="d0d4d3" w:sz="4"/>
            </w:tcBorders>
            <w:shd w:fill="f8fcfd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color w:val="006172"/>
                <w:sz w:val="24"/>
                <w:szCs w:val="24"/>
              </w:rPr>
              <w:t xml:space="preserve">Step 6: Export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Print A3</w:t>
            </w: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: landscape A3 layout, one page. Set printer to A3 or "fit to page" on A4.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Export JSON</w:t>
            </w: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: complete backup — all nine sections, photos, imports, memos, nemawashi, Systems Lens notes. Export after every session.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AI Coach</w:t>
            </w: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: whole-A3 or per-section coaching prompt for Copilot, Claude, or Gemini.</w:t>
            </w:r>
          </w:p>
        </w:tc>
      </w:tr>
    </w:tbl>
    <w:p>
      <w:pPr>
        <w:spacing w:after="240" w:before="0"/>
      </w:pPr>
      <w:r>
        <w:t xml:space="preserve"/>
      </w:r>
    </w:p>
    <w:p>
      <w:pPr>
        <w:pStyle w:val="Heading1"/>
        <w:pBdr>
          <w:bottom w:val="single" w:color="006172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006172"/>
          <w:sz w:val="48"/>
          <w:szCs w:val="48"/>
        </w:rPr>
        <w:t xml:space="preserve">Systems Lens — Quick Reference</w:t>
      </w:r>
    </w:p>
    <w:p>
      <w:pPr>
        <w:spacing w:after="100" w:before="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The Systems Lens is an optional EBC coaching overlay. Toggle is in the bar between the tab navigation and Section 1 — visible on all tabs.</w:t>
      </w:r>
    </w:p>
    <w:p>
      <w:pPr>
        <w:spacing w:after="12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004e5c" w:sz="4"/>
              <w:left w:val="single" w:color="004e5c" w:sz="18"/>
              <w:bottom w:val="single" w:color="004e5c" w:sz="4"/>
              <w:right w:val="single" w:color="004e5c" w:sz="4"/>
            </w:tcBorders>
            <w:shd w:fill="e8f4f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04e5c"/>
                <w:sz w:val="20"/>
                <w:szCs w:val="20"/>
              </w:rPr>
              <w:t xml:space="preserve">🔍 Systems Lens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Toggle the Systems Lens on to reveal collapsible coaching panels in sections 1, 2, 3, 5, 6, and 9.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/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Each panel contains four perspectives — People, Systems, Design, Risk — each with a coaching question and an optional notes field.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/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Notes are saved with the project, included in JSON export, included in AI coaching export, and printed (when present) as a compact section on page 2 of the A3.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The four perspectives at a glance:</w:t>
      </w:r>
    </w:p>
    <w:p>
      <w:pPr>
        <w:spacing w:after="8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8238"/>
      </w:tblGrid>
      <w:tr>
        <w:trPr>
          <w:tblHeader/>
        </w:trPr>
        <w:tc>
          <w:tcPr>
            <w:tcW w:type="dxa" w:w="1400"/>
            <w:tcBorders>
              <w:top w:val="single" w:color="d0d4d3" w:sz="4"/>
              <w:left w:val="single" w:color="d0d4d3" w:sz="4"/>
              <w:bottom w:val="single" w:color="d0d4d3" w:sz="4"/>
              <w:right w:val="single" w:color="d0d4d3" w:sz="4"/>
            </w:tcBorders>
            <w:shd w:fill="c4e5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4e5c"/>
                <w:sz w:val="20"/>
                <w:szCs w:val="20"/>
              </w:rPr>
              <w:t xml:space="preserve">Perspective</w:t>
            </w:r>
          </w:p>
        </w:tc>
        <w:tc>
          <w:tcPr>
            <w:tcW w:type="dxa" w:w="8238"/>
            <w:tcBorders>
              <w:top w:val="single" w:color="d0d4d3" w:sz="4"/>
              <w:left w:val="single" w:color="d0d4d3" w:sz="4"/>
              <w:bottom w:val="single" w:color="d0d4d3" w:sz="4"/>
              <w:right w:val="single" w:color="d0d4d3" w:sz="4"/>
            </w:tcBorders>
            <w:shd w:fill="c4e5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4e5c"/>
                <w:sz w:val="20"/>
                <w:szCs w:val="20"/>
              </w:rPr>
              <w:t xml:space="preserve">The core question it keeps asking</w:t>
            </w:r>
          </w:p>
        </w:tc>
      </w:tr>
      <w:tr>
        <w:tc>
          <w:tcPr>
            <w:tcW w:type="dxa" w:w="1400"/>
            <w:tcBorders>
              <w:top w:val="single" w:color="d0d4d3" w:sz="4"/>
              <w:left w:val="single" w:color="d0d4d3" w:sz="4"/>
              <w:bottom w:val="single" w:color="d0d4d3" w:sz="4"/>
              <w:right w:val="single" w:color="d0d4d3" w:sz="4"/>
            </w:tcBorders>
            <w:shd w:fill="f8fc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172"/>
                <w:sz w:val="20"/>
                <w:szCs w:val="20"/>
              </w:rPr>
              <w:t xml:space="preserve">People</w:t>
            </w:r>
          </w:p>
        </w:tc>
        <w:tc>
          <w:tcPr>
            <w:tcW w:type="dxa" w:w="8238"/>
            <w:tcBorders>
              <w:top w:val="single" w:color="d0d4d3" w:sz="4"/>
              <w:left w:val="single" w:color="d0d4d3" w:sz="4"/>
              <w:bottom w:val="single" w:color="d0d4d3" w:sz="4"/>
              <w:right w:val="single" w:color="d0d4d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Who else is affected that you haven't captured? Is human error in the analysis, or are you tracing it to system conditions?</w:t>
            </w:r>
          </w:p>
        </w:tc>
      </w:tr>
      <w:tr>
        <w:tc>
          <w:tcPr>
            <w:tcW w:type="dxa" w:w="1400"/>
            <w:tcBorders>
              <w:top w:val="single" w:color="d0d4d3" w:sz="4"/>
              <w:left w:val="single" w:color="d0d4d3" w:sz="4"/>
              <w:bottom w:val="single" w:color="d0d4d3" w:sz="4"/>
              <w:right w:val="single" w:color="d0d4d3" w:sz="4"/>
            </w:tcBorders>
            <w:shd w:fill="f8fc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172"/>
                <w:sz w:val="20"/>
                <w:szCs w:val="20"/>
              </w:rPr>
              <w:t xml:space="preserve">Systems</w:t>
            </w:r>
          </w:p>
        </w:tc>
        <w:tc>
          <w:tcPr>
            <w:tcW w:type="dxa" w:w="8238"/>
            <w:tcBorders>
              <w:top w:val="single" w:color="d0d4d3" w:sz="4"/>
              <w:left w:val="single" w:color="d0d4d3" w:sz="4"/>
              <w:bottom w:val="single" w:color="d0d4d3" w:sz="4"/>
              <w:right w:val="single" w:color="d0d4d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Does fixing this process improve the whole system, or transfer the problem downstream?</w:t>
            </w:r>
          </w:p>
        </w:tc>
      </w:tr>
      <w:tr>
        <w:tc>
          <w:tcPr>
            <w:tcW w:type="dxa" w:w="1400"/>
            <w:tcBorders>
              <w:top w:val="single" w:color="d0d4d3" w:sz="4"/>
              <w:left w:val="single" w:color="d0d4d3" w:sz="4"/>
              <w:bottom w:val="single" w:color="d0d4d3" w:sz="4"/>
              <w:right w:val="single" w:color="d0d4d3" w:sz="4"/>
            </w:tcBorders>
            <w:shd w:fill="f8fc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172"/>
                <w:sz w:val="20"/>
                <w:szCs w:val="20"/>
              </w:rPr>
              <w:t xml:space="preserve">Design</w:t>
            </w:r>
          </w:p>
        </w:tc>
        <w:tc>
          <w:tcPr>
            <w:tcW w:type="dxa" w:w="8238"/>
            <w:tcBorders>
              <w:top w:val="single" w:color="d0d4d3" w:sz="4"/>
              <w:left w:val="single" w:color="d0d4d3" w:sz="4"/>
              <w:bottom w:val="single" w:color="d0d4d3" w:sz="4"/>
              <w:right w:val="single" w:color="d0d4d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Is the failure mode designed into the process? Are you designing it out or inspecting around it?</w:t>
            </w:r>
          </w:p>
        </w:tc>
      </w:tr>
      <w:tr>
        <w:tc>
          <w:tcPr>
            <w:tcW w:type="dxa" w:w="1400"/>
            <w:tcBorders>
              <w:top w:val="single" w:color="d0d4d3" w:sz="4"/>
              <w:left w:val="single" w:color="d0d4d3" w:sz="4"/>
              <w:bottom w:val="single" w:color="d0d4d3" w:sz="4"/>
              <w:right w:val="single" w:color="d0d4d3" w:sz="4"/>
            </w:tcBorders>
            <w:shd w:fill="f8fc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172"/>
                <w:sz w:val="20"/>
                <w:szCs w:val="20"/>
              </w:rPr>
              <w:t xml:space="preserve">Risk</w:t>
            </w:r>
          </w:p>
        </w:tc>
        <w:tc>
          <w:tcPr>
            <w:tcW w:type="dxa" w:w="8238"/>
            <w:tcBorders>
              <w:top w:val="single" w:color="d0d4d3" w:sz="4"/>
              <w:left w:val="single" w:color="d0d4d3" w:sz="4"/>
              <w:bottom w:val="single" w:color="d0d4d3" w:sz="4"/>
              <w:right w:val="single" w:color="d0d4d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What risks exist in the current state that aren't measured? What risks does the improvement introduce?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Full EBC framework background: Royal Academy of Engineering, Engineering Better Care (2017) — raeng.org.uk</w:t>
      </w:r>
    </w:p>
    <w:p>
      <w:pPr>
        <w:spacing w:after="240" w:before="0"/>
      </w:pPr>
      <w:r>
        <w:t xml:space="preserve"/>
      </w:r>
    </w:p>
    <w:p>
      <w:pPr>
        <w:pStyle w:val="Heading1"/>
        <w:pBdr>
          <w:bottom w:val="single" w:color="006172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006172"/>
          <w:sz w:val="48"/>
          <w:szCs w:val="48"/>
        </w:rPr>
        <w:t xml:space="preserve">Importing Evidence</w:t>
      </w:r>
    </w:p>
    <w:p>
      <w:pPr>
        <w:spacing w:after="100" w:before="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Tap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Import from Gemba app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in any section. Select a JSON exported from Gemba-VSM, Gemba-RCA, or Gemba-SPC. Smart routing suggests the right section; you can override.</w:t>
      </w:r>
    </w:p>
    <w:p>
      <w:pPr>
        <w:spacing w:after="8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438"/>
      </w:tblGrid>
      <w:tr>
        <w:trPr>
          <w:tblHeader/>
        </w:trPr>
        <w:tc>
          <w:tcPr>
            <w:tcW w:type="dxa" w:w="2200"/>
            <w:tcBorders>
              <w:top w:val="single" w:color="d0d4d3" w:sz="4"/>
              <w:left w:val="single" w:color="d0d4d3" w:sz="4"/>
              <w:bottom w:val="single" w:color="d0d4d3" w:sz="4"/>
              <w:right w:val="single" w:color="d0d4d3" w:sz="4"/>
            </w:tcBorders>
            <w:shd w:fill="c4e5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4e5c"/>
                <w:sz w:val="20"/>
                <w:szCs w:val="20"/>
              </w:rPr>
              <w:t xml:space="preserve">Source</w:t>
            </w:r>
          </w:p>
        </w:tc>
        <w:tc>
          <w:tcPr>
            <w:tcW w:type="dxa" w:w="7438"/>
            <w:tcBorders>
              <w:top w:val="single" w:color="d0d4d3" w:sz="4"/>
              <w:left w:val="single" w:color="d0d4d3" w:sz="4"/>
              <w:bottom w:val="single" w:color="d0d4d3" w:sz="4"/>
              <w:right w:val="single" w:color="d0d4d3" w:sz="4"/>
            </w:tcBorders>
            <w:shd w:fill="c4e5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4e5c"/>
                <w:sz w:val="20"/>
                <w:szCs w:val="20"/>
              </w:rPr>
              <w:t xml:space="preserve">Default section</w:t>
            </w:r>
          </w:p>
        </w:tc>
      </w:tr>
      <w:tr>
        <w:tc>
          <w:tcPr>
            <w:tcW w:type="dxa" w:w="2200"/>
            <w:tcBorders>
              <w:top w:val="single" w:color="d0d4d3" w:sz="4"/>
              <w:left w:val="single" w:color="d0d4d3" w:sz="4"/>
              <w:bottom w:val="single" w:color="d0d4d3" w:sz="4"/>
              <w:right w:val="single" w:color="d0d4d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VSM Current State</w:t>
            </w:r>
          </w:p>
        </w:tc>
        <w:tc>
          <w:tcPr>
            <w:tcW w:type="dxa" w:w="7438"/>
            <w:tcBorders>
              <w:top w:val="single" w:color="d0d4d3" w:sz="4"/>
              <w:left w:val="single" w:color="d0d4d3" w:sz="4"/>
              <w:bottom w:val="single" w:color="d0d4d3" w:sz="4"/>
              <w:right w:val="single" w:color="d0d4d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Section 2: Current State</w:t>
            </w:r>
          </w:p>
        </w:tc>
      </w:tr>
      <w:tr>
        <w:tc>
          <w:tcPr>
            <w:tcW w:type="dxa" w:w="2200"/>
            <w:tcBorders>
              <w:top w:val="single" w:color="d0d4d3" w:sz="4"/>
              <w:left w:val="single" w:color="d0d4d3" w:sz="4"/>
              <w:bottom w:val="single" w:color="d0d4d3" w:sz="4"/>
              <w:right w:val="single" w:color="d0d4d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VSM Future State</w:t>
            </w:r>
          </w:p>
        </w:tc>
        <w:tc>
          <w:tcPr>
            <w:tcW w:type="dxa" w:w="7438"/>
            <w:tcBorders>
              <w:top w:val="single" w:color="d0d4d3" w:sz="4"/>
              <w:left w:val="single" w:color="d0d4d3" w:sz="4"/>
              <w:bottom w:val="single" w:color="d0d4d3" w:sz="4"/>
              <w:right w:val="single" w:color="d0d4d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Section 6: Future State / Countermeasures</w:t>
            </w:r>
          </w:p>
        </w:tc>
      </w:tr>
      <w:tr>
        <w:tc>
          <w:tcPr>
            <w:tcW w:type="dxa" w:w="2200"/>
            <w:tcBorders>
              <w:top w:val="single" w:color="d0d4d3" w:sz="4"/>
              <w:left w:val="single" w:color="d0d4d3" w:sz="4"/>
              <w:bottom w:val="single" w:color="d0d4d3" w:sz="4"/>
              <w:right w:val="single" w:color="d0d4d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RCA Fishbone / 5 Whys</w:t>
            </w:r>
          </w:p>
        </w:tc>
        <w:tc>
          <w:tcPr>
            <w:tcW w:type="dxa" w:w="7438"/>
            <w:tcBorders>
              <w:top w:val="single" w:color="d0d4d3" w:sz="4"/>
              <w:left w:val="single" w:color="d0d4d3" w:sz="4"/>
              <w:bottom w:val="single" w:color="d0d4d3" w:sz="4"/>
              <w:right w:val="single" w:color="d0d4d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Section 5: Root Cause Analysis</w:t>
            </w:r>
          </w:p>
        </w:tc>
      </w:tr>
      <w:tr>
        <w:tc>
          <w:tcPr>
            <w:tcW w:type="dxa" w:w="2200"/>
            <w:tcBorders>
              <w:top w:val="single" w:color="d0d4d3" w:sz="4"/>
              <w:left w:val="single" w:color="d0d4d3" w:sz="4"/>
              <w:bottom w:val="single" w:color="d0d4d3" w:sz="4"/>
              <w:right w:val="single" w:color="d0d4d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2D2D"/>
                <w:sz w:val="20"/>
                <w:szCs w:val="20"/>
              </w:rPr>
              <w:t xml:space="preserve">SPC Control Chart</w:t>
            </w:r>
          </w:p>
        </w:tc>
        <w:tc>
          <w:tcPr>
            <w:tcW w:type="dxa" w:w="7438"/>
            <w:tcBorders>
              <w:top w:val="single" w:color="d0d4d3" w:sz="4"/>
              <w:left w:val="single" w:color="d0d4d3" w:sz="4"/>
              <w:bottom w:val="single" w:color="d0d4d3" w:sz="4"/>
              <w:right w:val="single" w:color="d0d4d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Section 8: Results &amp; Measures</w:t>
            </w:r>
          </w:p>
        </w:tc>
      </w:tr>
    </w:tbl>
    <w:p>
      <w:pPr>
        <w:spacing w:after="240" w:before="0"/>
      </w:pPr>
      <w:r>
        <w:t xml:space="preserve"/>
      </w:r>
    </w:p>
    <w:p>
      <w:pPr>
        <w:pStyle w:val="Heading1"/>
        <w:pBdr>
          <w:bottom w:val="single" w:color="006172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006172"/>
          <w:sz w:val="48"/>
          <w:szCs w:val="48"/>
        </w:rPr>
        <w:t xml:space="preserve">Common Mistakes — Quick Avoidance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Skipping the gemba.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Section 2 must be based on direct observation, not on what the SOP says or what people report in meetings.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Solution in the problem statement.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"We need a new printer" is not a problem. "Specimen labels are illegible 15% of the time" is.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Symptom as root cause.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Apply the elimination test: if you remove the cause you have identified, does the problem disappear completely?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Human error as root cause.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It is never the answer. Trace to system conditions: training, instructions, environment, workload, supervision.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Goal without baseline.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A SMART target requires knowing where you are starting from. Current state data comes first.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Unlocking the gate too early.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If you cannot answer the checkpoint questions, you are not ready. Go back to the gemba.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Not exporting.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Browser storage is not a backup. Export JSON after every session.</w:t>
      </w:r>
    </w:p>
    <w:p>
      <w:pPr>
        <w:spacing w:after="24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006172" w:sz="4"/>
              <w:left w:val="single" w:color="006172" w:sz="4"/>
              <w:bottom w:val="single" w:color="006172" w:sz="4"/>
              <w:right w:val="single" w:color="006172" w:sz="4"/>
            </w:tcBorders>
            <w:shd w:fill="f0f8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06172"/>
                <w:sz w:val="20"/>
                <w:szCs w:val="20"/>
              </w:rPr>
              <w:t xml:space="preserve"/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Go See  ·  Ask Why  ·  Respect People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/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Problems are friends. They point to broken standards, never broken people.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spacing w:after="100" w:before="0"/>
        <w:jc w:val="center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gembasuite.org/a3  ·  Full guide: gembasuite.org/guide/a3/  ·  © 2024–2026 David Clark  ·  CC BY-NC-SA 4.0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006172"/>
      <w:sz w:val="48"/>
      <w:szCs w:val="48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2D2D2D"/>
      <w:sz w:val="40"/>
      <w:szCs w:val="40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006172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2026-05-12T07:52:22.754Z</dcterms:created>
  <dcterms:modified xsi:type="dcterms:W3CDTF">2026-05-12T07:52:22.755Z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